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Why does my child struggle in the festive season?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Christmas is often seen as a time of joy and celebration, for many neurodivergent people it can be overwhelming, unpredictable, and exhausting.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 are some of the most common challenges: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Sensory Overload- Bright lights, loud music, busy shops, strong smells, flashing decorations — Christmas can be a full sensory nightmare.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Changes in Routine- School closures, social events, later bedtimes, and disrupted daily structure can create anxiety and emotional dysregulation.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Expectations- Gatherings, small talk, group activities, and being expected to “join in” can feel draining or uncomfortable.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Surprises &amp; Unpredictability- Last-minute plans, surprise gifts, and sudden schedule changes can feel stressful instead of exciting.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Food Differences- Seasonal foods, new textures, and the pressure to eat what others are eating can create extra challenges.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How can I support them?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 are simple, effective ways to make the festive season more accessible and enjoyable: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 predictable plan- Use visual schedules, countdowns, or social stories to outline events, visitors, and changes.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 sensory-friendly spaces- Quiet rooms, dimmer lights, noise-canceling headphones, weighted blankets, or fidget toys can help regulate overwhelm.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preferred routines- Keep bedtime, meal times, and familiar activities as consistent as possible.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Give options, not pressure- Allow people to opt out of activities, skip hugs, open gifts privately, or take breaks without judgement.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ahead for gatherings- Share who will be there, the plan for the day, and how long you’ll stay — predictability builds comfort.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flexible with food- It’s okay for someone to eat their safe foods instead of the “traditional Christmas dinner.”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clearly- Explain expectations, give warnings before transitions, and avoid surprises when possible.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Christmas doesn’t need to be louder, brighter, or busier to be meaningful. It becomes more inclusive when we honour sensory needs, respect boundaries, and offer choice.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